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5D" w:rsidRPr="00C245DE" w:rsidRDefault="00652C5D" w:rsidP="00652C5D">
      <w:pPr>
        <w:rPr>
          <w:rFonts w:cs="Arial"/>
          <w:b/>
          <w:bCs/>
          <w:sz w:val="24"/>
          <w:szCs w:val="24"/>
        </w:rPr>
      </w:pPr>
      <w:r w:rsidRPr="00C245DE">
        <w:rPr>
          <w:rFonts w:cs="Arial" w:hint="eastAsia"/>
          <w:b/>
          <w:bCs/>
          <w:sz w:val="24"/>
          <w:szCs w:val="24"/>
        </w:rPr>
        <w:t>附件</w:t>
      </w:r>
      <w:r w:rsidRPr="00C245DE">
        <w:rPr>
          <w:rFonts w:cs="Arial" w:hint="eastAsia"/>
          <w:b/>
          <w:bCs/>
          <w:sz w:val="24"/>
          <w:szCs w:val="24"/>
        </w:rPr>
        <w:t>1</w:t>
      </w:r>
      <w:r w:rsidRPr="00C245DE">
        <w:rPr>
          <w:rFonts w:cs="Arial" w:hint="eastAsia"/>
          <w:b/>
          <w:bCs/>
          <w:sz w:val="24"/>
          <w:szCs w:val="24"/>
        </w:rPr>
        <w:t>：</w:t>
      </w:r>
      <w:r w:rsidRPr="00652C5D">
        <w:rPr>
          <w:rFonts w:cs="Arial" w:hint="eastAsia"/>
          <w:b/>
          <w:bCs/>
          <w:sz w:val="24"/>
          <w:szCs w:val="24"/>
        </w:rPr>
        <w:t>基于教学方法与模式的案例资源库建设要求</w:t>
      </w:r>
    </w:p>
    <w:p w:rsidR="00652C5D" w:rsidRDefault="00652C5D" w:rsidP="00C245DE">
      <w:pPr>
        <w:pStyle w:val="p0"/>
        <w:numPr>
          <w:ilvl w:val="0"/>
          <w:numId w:val="1"/>
        </w:numPr>
        <w:spacing w:beforeLines="50" w:beforeAutospacing="0" w:afterLines="50" w:afterAutospacing="0" w:line="240" w:lineRule="atLeast"/>
        <w:jc w:val="both"/>
        <w:rPr>
          <w:rFonts w:cs="Arial"/>
          <w:bCs/>
          <w:sz w:val="21"/>
          <w:szCs w:val="21"/>
        </w:rPr>
      </w:pPr>
      <w:r w:rsidRPr="00601A7E">
        <w:rPr>
          <w:rFonts w:cs="Arial" w:hint="eastAsia"/>
          <w:bCs/>
          <w:sz w:val="21"/>
          <w:szCs w:val="21"/>
        </w:rPr>
        <w:t>案例选题应聚焦课程改革，反映</w:t>
      </w:r>
      <w:r>
        <w:rPr>
          <w:rFonts w:cs="Arial" w:hint="eastAsia"/>
          <w:bCs/>
          <w:sz w:val="21"/>
          <w:szCs w:val="21"/>
        </w:rPr>
        <w:t>相应</w:t>
      </w:r>
      <w:r w:rsidRPr="00601A7E">
        <w:rPr>
          <w:rFonts w:cs="Arial" w:hint="eastAsia"/>
          <w:bCs/>
          <w:sz w:val="21"/>
          <w:szCs w:val="21"/>
        </w:rPr>
        <w:t>学科</w:t>
      </w:r>
      <w:r>
        <w:rPr>
          <w:rFonts w:cs="Arial" w:hint="eastAsia"/>
          <w:bCs/>
          <w:sz w:val="21"/>
          <w:szCs w:val="21"/>
        </w:rPr>
        <w:t>的</w:t>
      </w:r>
      <w:r w:rsidRPr="00601A7E">
        <w:rPr>
          <w:rFonts w:cs="Arial" w:hint="eastAsia"/>
          <w:bCs/>
          <w:sz w:val="21"/>
          <w:szCs w:val="21"/>
        </w:rPr>
        <w:t>特性，具有教学方法和教学模式的典型性，促进教师专业发展。</w:t>
      </w:r>
    </w:p>
    <w:p w:rsidR="00652C5D" w:rsidRDefault="00652C5D" w:rsidP="00C245DE">
      <w:pPr>
        <w:pStyle w:val="p0"/>
        <w:numPr>
          <w:ilvl w:val="0"/>
          <w:numId w:val="1"/>
        </w:numPr>
        <w:spacing w:beforeLines="50" w:beforeAutospacing="0" w:afterLines="50" w:afterAutospacing="0" w:line="240" w:lineRule="atLeast"/>
        <w:jc w:val="both"/>
        <w:rPr>
          <w:rFonts w:cs="Arial"/>
          <w:bCs/>
          <w:sz w:val="21"/>
          <w:szCs w:val="21"/>
        </w:rPr>
      </w:pPr>
      <w:r w:rsidRPr="00222EFB">
        <w:rPr>
          <w:rFonts w:cs="Arial" w:hint="eastAsia"/>
          <w:bCs/>
          <w:sz w:val="21"/>
          <w:szCs w:val="21"/>
        </w:rPr>
        <w:t>案例应用良好的教学设计，在教材的处理、活动的安排、情境的创设等方面应有独特创意和理论思考，定位准确，体现因材施教。</w:t>
      </w:r>
    </w:p>
    <w:p w:rsidR="00652C5D" w:rsidRDefault="00652C5D" w:rsidP="00C245DE">
      <w:pPr>
        <w:pStyle w:val="p0"/>
        <w:numPr>
          <w:ilvl w:val="0"/>
          <w:numId w:val="1"/>
        </w:numPr>
        <w:spacing w:beforeLines="50" w:beforeAutospacing="0" w:afterLines="50" w:afterAutospacing="0" w:line="240" w:lineRule="atLeast"/>
        <w:ind w:leftChars="200" w:left="1160"/>
        <w:jc w:val="both"/>
        <w:rPr>
          <w:rFonts w:cs="Arial"/>
          <w:bCs/>
          <w:sz w:val="21"/>
          <w:szCs w:val="21"/>
        </w:rPr>
      </w:pPr>
      <w:r w:rsidRPr="00D42C68">
        <w:rPr>
          <w:rFonts w:cs="Arial" w:hint="eastAsia"/>
          <w:bCs/>
          <w:sz w:val="21"/>
          <w:szCs w:val="21"/>
        </w:rPr>
        <w:t>对案例的分析应焦点突出，体现多重角度，案例反映的问题具有启发性，理论与实践应合理连接，能够激发教师的实践反思。</w:t>
      </w:r>
    </w:p>
    <w:p w:rsidR="00652C5D" w:rsidRDefault="00652C5D" w:rsidP="00C245DE">
      <w:pPr>
        <w:pStyle w:val="p0"/>
        <w:numPr>
          <w:ilvl w:val="0"/>
          <w:numId w:val="1"/>
        </w:numPr>
        <w:spacing w:beforeLines="50" w:beforeAutospacing="0" w:afterLines="50" w:afterAutospacing="0" w:line="240" w:lineRule="atLeast"/>
        <w:ind w:leftChars="200" w:left="1160"/>
        <w:jc w:val="both"/>
        <w:rPr>
          <w:rFonts w:cs="Arial"/>
          <w:bCs/>
          <w:sz w:val="21"/>
          <w:szCs w:val="21"/>
        </w:rPr>
      </w:pPr>
      <w:r w:rsidRPr="000E0B6B">
        <w:rPr>
          <w:rFonts w:cs="Arial" w:hint="eastAsia"/>
          <w:bCs/>
          <w:sz w:val="21"/>
          <w:szCs w:val="21"/>
        </w:rPr>
        <w:t>案例资源包括基本资源和拓展资源，其内容须涵盖实践中常见的教学方法和模式，并做好相应的归类。</w:t>
      </w:r>
    </w:p>
    <w:p w:rsidR="00652C5D" w:rsidRDefault="00652C5D" w:rsidP="00C245DE">
      <w:pPr>
        <w:pStyle w:val="p0"/>
        <w:numPr>
          <w:ilvl w:val="0"/>
          <w:numId w:val="1"/>
        </w:numPr>
        <w:spacing w:beforeLines="50" w:beforeAutospacing="0" w:afterLines="50" w:afterAutospacing="0" w:line="240" w:lineRule="atLeast"/>
        <w:ind w:leftChars="200" w:left="1160"/>
        <w:jc w:val="both"/>
        <w:rPr>
          <w:rFonts w:cs="Arial"/>
          <w:bCs/>
          <w:sz w:val="21"/>
          <w:szCs w:val="21"/>
        </w:rPr>
      </w:pPr>
      <w:r w:rsidRPr="000E0B6B">
        <w:rPr>
          <w:rFonts w:cs="Arial" w:hint="eastAsia"/>
          <w:bCs/>
          <w:sz w:val="21"/>
          <w:szCs w:val="21"/>
        </w:rPr>
        <w:t>教学案例应是一个完整案例，包括相应的文字教案、课堂教学录像和课堂教学中使用的辅助资源三个主要部分。</w:t>
      </w:r>
    </w:p>
    <w:p w:rsidR="00652C5D" w:rsidRDefault="00652C5D" w:rsidP="00C245DE">
      <w:pPr>
        <w:pStyle w:val="p0"/>
        <w:numPr>
          <w:ilvl w:val="0"/>
          <w:numId w:val="1"/>
        </w:numPr>
        <w:spacing w:beforeLines="50" w:beforeAutospacing="0" w:afterLines="50" w:afterAutospacing="0" w:line="240" w:lineRule="atLeast"/>
        <w:ind w:leftChars="200" w:left="1160"/>
        <w:jc w:val="both"/>
        <w:rPr>
          <w:rFonts w:cs="Arial"/>
          <w:bCs/>
          <w:sz w:val="21"/>
          <w:szCs w:val="21"/>
        </w:rPr>
      </w:pPr>
      <w:r w:rsidRPr="000E0B6B">
        <w:rPr>
          <w:rFonts w:cs="Arial" w:hint="eastAsia"/>
          <w:bCs/>
          <w:sz w:val="21"/>
          <w:szCs w:val="21"/>
        </w:rPr>
        <w:t>案例总数不少于100个，每个案例包含15分钟左右的视音频</w:t>
      </w:r>
      <w:r>
        <w:rPr>
          <w:rFonts w:cs="Arial" w:hint="eastAsia"/>
          <w:bCs/>
          <w:sz w:val="21"/>
          <w:szCs w:val="21"/>
        </w:rPr>
        <w:t>、</w:t>
      </w:r>
      <w:r w:rsidRPr="000E0B6B">
        <w:rPr>
          <w:rFonts w:cs="Arial" w:hint="eastAsia"/>
          <w:bCs/>
          <w:sz w:val="21"/>
          <w:szCs w:val="21"/>
        </w:rPr>
        <w:t>相应的文字表述</w:t>
      </w:r>
      <w:r>
        <w:rPr>
          <w:rFonts w:cs="Arial" w:hint="eastAsia"/>
          <w:bCs/>
          <w:sz w:val="21"/>
          <w:szCs w:val="21"/>
        </w:rPr>
        <w:t>以及各种辅助性资源，如</w:t>
      </w:r>
      <w:r w:rsidRPr="000E0B6B">
        <w:rPr>
          <w:rFonts w:cs="Arial" w:hint="eastAsia"/>
          <w:bCs/>
          <w:sz w:val="21"/>
          <w:szCs w:val="21"/>
        </w:rPr>
        <w:t>图片、文本、动画</w:t>
      </w:r>
      <w:r>
        <w:rPr>
          <w:rFonts w:cs="Arial" w:hint="eastAsia"/>
          <w:bCs/>
          <w:sz w:val="21"/>
          <w:szCs w:val="21"/>
        </w:rPr>
        <w:t>等。</w:t>
      </w:r>
    </w:p>
    <w:p w:rsidR="00652C5D" w:rsidRDefault="00652C5D" w:rsidP="00C245DE">
      <w:pPr>
        <w:pStyle w:val="p0"/>
        <w:numPr>
          <w:ilvl w:val="0"/>
          <w:numId w:val="1"/>
        </w:numPr>
        <w:spacing w:beforeLines="50" w:beforeAutospacing="0" w:afterLines="50" w:afterAutospacing="0" w:line="240" w:lineRule="atLeast"/>
        <w:jc w:val="both"/>
        <w:rPr>
          <w:rFonts w:cs="Arial"/>
          <w:bCs/>
          <w:sz w:val="21"/>
          <w:szCs w:val="21"/>
        </w:rPr>
      </w:pPr>
      <w:r w:rsidRPr="000E0B6B">
        <w:rPr>
          <w:rFonts w:cs="Arial" w:hint="eastAsia"/>
          <w:bCs/>
          <w:sz w:val="21"/>
          <w:szCs w:val="21"/>
        </w:rPr>
        <w:t>案例资源应体现丰</w:t>
      </w:r>
      <w:r>
        <w:rPr>
          <w:rFonts w:cs="Arial" w:hint="eastAsia"/>
          <w:bCs/>
          <w:sz w:val="21"/>
          <w:szCs w:val="21"/>
        </w:rPr>
        <w:t>富性、有效性、真实性和开放性，应包括各种案例素材、各种相关资源</w:t>
      </w:r>
      <w:r w:rsidRPr="000E0B6B">
        <w:rPr>
          <w:rFonts w:cs="Arial" w:hint="eastAsia"/>
          <w:bCs/>
          <w:sz w:val="21"/>
          <w:szCs w:val="21"/>
        </w:rPr>
        <w:t>。</w:t>
      </w:r>
    </w:p>
    <w:p w:rsidR="00652C5D" w:rsidRDefault="00652C5D" w:rsidP="00C245DE">
      <w:pPr>
        <w:pStyle w:val="p0"/>
        <w:numPr>
          <w:ilvl w:val="0"/>
          <w:numId w:val="1"/>
        </w:numPr>
        <w:spacing w:beforeLines="50" w:beforeAutospacing="0" w:afterLines="50" w:afterAutospacing="0" w:line="240" w:lineRule="atLeast"/>
        <w:jc w:val="both"/>
        <w:rPr>
          <w:rFonts w:cs="Arial"/>
          <w:bCs/>
          <w:sz w:val="21"/>
          <w:szCs w:val="21"/>
        </w:rPr>
      </w:pPr>
      <w:r>
        <w:rPr>
          <w:rFonts w:cs="Arial" w:hint="eastAsia"/>
          <w:bCs/>
          <w:sz w:val="21"/>
          <w:szCs w:val="21"/>
        </w:rPr>
        <w:t>案例资源</w:t>
      </w:r>
      <w:r w:rsidRPr="003315AA">
        <w:rPr>
          <w:rFonts w:cs="Arial" w:hint="eastAsia"/>
          <w:bCs/>
          <w:sz w:val="21"/>
          <w:szCs w:val="21"/>
        </w:rPr>
        <w:t>应界面设计合理美观，媒体素材标准规范，资源链接灵活方便，资源链接灵活方便，遵循各种相关技术标准与规范。</w:t>
      </w:r>
    </w:p>
    <w:p w:rsidR="00652C5D" w:rsidRDefault="00652C5D" w:rsidP="00C245DE">
      <w:pPr>
        <w:pStyle w:val="p0"/>
        <w:numPr>
          <w:ilvl w:val="0"/>
          <w:numId w:val="1"/>
        </w:numPr>
        <w:spacing w:beforeLines="50" w:beforeAutospacing="0" w:afterLines="50" w:afterAutospacing="0" w:line="240" w:lineRule="atLeast"/>
        <w:jc w:val="both"/>
        <w:rPr>
          <w:rFonts w:cs="Arial"/>
          <w:bCs/>
          <w:sz w:val="21"/>
          <w:szCs w:val="21"/>
        </w:rPr>
      </w:pPr>
      <w:r w:rsidRPr="003315AA">
        <w:rPr>
          <w:rFonts w:cs="Arial" w:hint="eastAsia"/>
          <w:bCs/>
          <w:sz w:val="21"/>
          <w:szCs w:val="21"/>
        </w:rPr>
        <w:t>案例可以是课程教学实景，也可以是模拟教学。</w:t>
      </w:r>
    </w:p>
    <w:p w:rsidR="00652C5D" w:rsidRDefault="00652C5D" w:rsidP="00C245DE">
      <w:pPr>
        <w:pStyle w:val="p0"/>
        <w:numPr>
          <w:ilvl w:val="0"/>
          <w:numId w:val="1"/>
        </w:numPr>
        <w:spacing w:beforeLines="50" w:beforeAutospacing="0" w:afterLines="50" w:afterAutospacing="0" w:line="240" w:lineRule="atLeast"/>
        <w:jc w:val="both"/>
        <w:rPr>
          <w:rFonts w:cs="Arial"/>
          <w:bCs/>
          <w:sz w:val="21"/>
          <w:szCs w:val="21"/>
        </w:rPr>
      </w:pPr>
      <w:r w:rsidRPr="003315AA">
        <w:rPr>
          <w:rFonts w:cs="Arial" w:hint="eastAsia"/>
          <w:bCs/>
          <w:sz w:val="21"/>
          <w:szCs w:val="21"/>
        </w:rPr>
        <w:t>基本资源能反映教学思想、教学内容、教学方法、教学过程，包括课程介绍、教案或演示文稿、重点难点指导、作业、参考资料目录和课程全程教学录像等。</w:t>
      </w:r>
    </w:p>
    <w:p w:rsidR="00652C5D" w:rsidRPr="003315AA" w:rsidRDefault="00652C5D" w:rsidP="00C245DE">
      <w:pPr>
        <w:pStyle w:val="p0"/>
        <w:numPr>
          <w:ilvl w:val="0"/>
          <w:numId w:val="1"/>
        </w:numPr>
        <w:spacing w:beforeLines="50" w:beforeAutospacing="0" w:afterLines="50" w:afterAutospacing="0" w:line="240" w:lineRule="atLeast"/>
        <w:jc w:val="both"/>
        <w:rPr>
          <w:rFonts w:cs="Arial"/>
          <w:bCs/>
          <w:sz w:val="21"/>
          <w:szCs w:val="21"/>
        </w:rPr>
      </w:pPr>
      <w:r w:rsidRPr="003315AA">
        <w:rPr>
          <w:rFonts w:cs="Arial" w:hint="eastAsia"/>
          <w:bCs/>
          <w:sz w:val="21"/>
          <w:szCs w:val="21"/>
        </w:rPr>
        <w:t>拓展资源反映课程特点，应用于各教学与学习环节，支持课程教学和学习过程，较为成熟的多样性、交互性辅助资源，如案例库、专题讲座库、素材资源库等。</w:t>
      </w:r>
    </w:p>
    <w:p w:rsidR="00652C5D" w:rsidRDefault="00652C5D" w:rsidP="00323B43"/>
    <w:sectPr w:rsidR="00652C5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766" w:rsidRDefault="00502766" w:rsidP="00C245DE">
      <w:pPr>
        <w:spacing w:after="0"/>
      </w:pPr>
      <w:r>
        <w:separator/>
      </w:r>
    </w:p>
  </w:endnote>
  <w:endnote w:type="continuationSeparator" w:id="0">
    <w:p w:rsidR="00502766" w:rsidRDefault="00502766" w:rsidP="00C245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766" w:rsidRDefault="00502766" w:rsidP="00C245DE">
      <w:pPr>
        <w:spacing w:after="0"/>
      </w:pPr>
      <w:r>
        <w:separator/>
      </w:r>
    </w:p>
  </w:footnote>
  <w:footnote w:type="continuationSeparator" w:id="0">
    <w:p w:rsidR="00502766" w:rsidRDefault="00502766" w:rsidP="00C245D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0069A"/>
    <w:multiLevelType w:val="hybridMultilevel"/>
    <w:tmpl w:val="2B2ED1E2"/>
    <w:lvl w:ilvl="0" w:tplc="1988E01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2C5D"/>
    <w:rsid w:val="002528B3"/>
    <w:rsid w:val="00323B43"/>
    <w:rsid w:val="003D37D8"/>
    <w:rsid w:val="004358AB"/>
    <w:rsid w:val="00502766"/>
    <w:rsid w:val="00652C5D"/>
    <w:rsid w:val="008B7726"/>
    <w:rsid w:val="00933D23"/>
    <w:rsid w:val="00995414"/>
    <w:rsid w:val="00B95601"/>
    <w:rsid w:val="00C2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52C5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245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5D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5D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5D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2013-10-27T11:11:00Z</dcterms:created>
  <dcterms:modified xsi:type="dcterms:W3CDTF">2013-10-27T11:20:00Z</dcterms:modified>
</cp:coreProperties>
</file>