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Times New Roman" w:hAnsiTheme="minorEastAsia"/>
          <w:kern w:val="0"/>
          <w:sz w:val="32"/>
          <w:szCs w:val="32"/>
        </w:rPr>
      </w:pPr>
      <w:r>
        <w:rPr>
          <w:rFonts w:hint="eastAsia" w:ascii="仿宋_GB2312" w:eastAsia="仿宋_GB2312" w:cs="Times New Roman" w:hAnsiTheme="minorEastAsia"/>
          <w:kern w:val="0"/>
          <w:sz w:val="32"/>
          <w:szCs w:val="32"/>
        </w:rPr>
        <w:t>附件2</w:t>
      </w:r>
    </w:p>
    <w:p>
      <w:pPr>
        <w:spacing w:after="156" w:line="560" w:lineRule="exact"/>
        <w:jc w:val="center"/>
        <w:textAlignment w:val="baseline"/>
        <w:rPr>
          <w:rStyle w:val="6"/>
          <w:rFonts w:ascii="方正小标宋简体" w:hAnsi="宋体" w:eastAsia="方正小标宋简体" w:cs="Times New Roman"/>
          <w:bCs/>
          <w:sz w:val="44"/>
          <w:szCs w:val="44"/>
        </w:rPr>
      </w:pPr>
      <w:bookmarkStart w:id="0" w:name="_GoBack"/>
      <w:bookmarkEnd w:id="0"/>
    </w:p>
    <w:p>
      <w:pPr>
        <w:spacing w:after="156" w:line="560" w:lineRule="exact"/>
        <w:jc w:val="center"/>
        <w:textAlignment w:val="baseline"/>
        <w:rPr>
          <w:rStyle w:val="6"/>
          <w:rFonts w:ascii="方正小标宋简体" w:hAnsi="宋体" w:eastAsia="方正小标宋简体" w:cs="Times New Roman"/>
          <w:bCs/>
          <w:sz w:val="44"/>
          <w:szCs w:val="44"/>
        </w:rPr>
      </w:pPr>
    </w:p>
    <w:p>
      <w:pPr>
        <w:spacing w:after="156" w:line="560" w:lineRule="exact"/>
        <w:jc w:val="center"/>
        <w:textAlignment w:val="baseline"/>
        <w:rPr>
          <w:rStyle w:val="6"/>
          <w:rFonts w:ascii="方正小标宋简体" w:hAnsi="宋体" w:eastAsia="方正小标宋简体" w:cs="Times New Roman"/>
          <w:bCs/>
          <w:sz w:val="44"/>
          <w:szCs w:val="44"/>
        </w:rPr>
      </w:pPr>
    </w:p>
    <w:p>
      <w:pPr>
        <w:spacing w:after="156" w:line="560" w:lineRule="exact"/>
        <w:jc w:val="center"/>
        <w:textAlignment w:val="baseline"/>
        <w:rPr>
          <w:rStyle w:val="6"/>
          <w:rFonts w:ascii="方正小标宋简体" w:hAnsi="宋体" w:eastAsia="方正小标宋简体" w:cs="Times New Roman"/>
          <w:bCs/>
          <w:sz w:val="44"/>
          <w:szCs w:val="44"/>
        </w:rPr>
      </w:pPr>
      <w:r>
        <w:rPr>
          <w:rStyle w:val="6"/>
          <w:rFonts w:hint="eastAsia" w:ascii="方正小标宋简体" w:hAnsi="宋体" w:eastAsia="方正小标宋简体" w:cs="Times New Roman"/>
          <w:bCs/>
          <w:sz w:val="44"/>
          <w:szCs w:val="44"/>
        </w:rPr>
        <w:t>学位授权点建设年度报告</w:t>
      </w:r>
    </w:p>
    <w:p>
      <w:pPr>
        <w:spacing w:after="156" w:line="560" w:lineRule="exact"/>
        <w:jc w:val="center"/>
        <w:textAlignment w:val="baseline"/>
        <w:rPr>
          <w:rStyle w:val="6"/>
          <w:rFonts w:ascii="方正小标宋简体" w:hAnsi="宋体" w:eastAsia="方正小标宋简体" w:cs="Times New Roman"/>
          <w:bCs/>
          <w:sz w:val="44"/>
          <w:szCs w:val="44"/>
        </w:rPr>
      </w:pPr>
      <w:r>
        <w:rPr>
          <w:rStyle w:val="6"/>
          <w:rFonts w:hint="eastAsia" w:ascii="方正小标宋简体" w:hAnsi="宋体" w:eastAsia="方正小标宋简体" w:cs="Times New Roman"/>
          <w:bCs/>
          <w:sz w:val="44"/>
          <w:szCs w:val="44"/>
        </w:rPr>
        <w:t>（提纲）</w:t>
      </w:r>
    </w:p>
    <w:p>
      <w:pPr>
        <w:spacing w:after="156"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p>
    <w:p>
      <w:pPr>
        <w:spacing w:line="560" w:lineRule="exact"/>
        <w:jc w:val="center"/>
        <w:textAlignment w:val="baseline"/>
        <w:rPr>
          <w:rStyle w:val="6"/>
          <w:rFonts w:ascii="方正小标宋简体" w:hAnsi="宋体" w:eastAsia="方正小标宋简体" w:cs="Times New Roman"/>
          <w:bCs/>
          <w:sz w:val="44"/>
          <w:szCs w:val="44"/>
        </w:rPr>
      </w:pPr>
      <w:r>
        <w:rPr>
          <w:rStyle w:val="6"/>
          <w:rFonts w:hint="eastAsia" w:ascii="方正小标宋简体" w:hAnsi="宋体" w:eastAsia="方正小标宋简体" w:cs="Times New Roman"/>
          <w:bCs/>
          <w:sz w:val="44"/>
          <w:szCs w:val="44"/>
        </w:rPr>
        <w:t>单位：    （公章）</w:t>
      </w:r>
    </w:p>
    <w:p>
      <w:pPr>
        <w:pStyle w:val="7"/>
        <w:widowControl/>
        <w:ind w:firstLine="880"/>
        <w:rPr>
          <w:rStyle w:val="6"/>
          <w:rFonts w:ascii="方正小标宋简体" w:hAnsi="宋体" w:eastAsia="方正小标宋简体" w:cs="Times New Roman"/>
          <w:bCs/>
          <w:color w:val="auto"/>
          <w:sz w:val="44"/>
          <w:szCs w:val="44"/>
        </w:rPr>
      </w:pPr>
    </w:p>
    <w:p>
      <w:pPr>
        <w:spacing w:line="560" w:lineRule="exact"/>
        <w:ind w:firstLine="2200" w:firstLineChars="500"/>
        <w:textAlignment w:val="baseline"/>
        <w:rPr>
          <w:rStyle w:val="6"/>
          <w:rFonts w:ascii="方正小标宋简体" w:hAnsi="宋体" w:eastAsia="方正小标宋简体" w:cs="Times New Roman"/>
          <w:bCs/>
          <w:sz w:val="44"/>
          <w:szCs w:val="44"/>
        </w:rPr>
      </w:pPr>
      <w:r>
        <w:rPr>
          <w:rStyle w:val="6"/>
          <w:rFonts w:hint="eastAsia" w:ascii="方正小标宋简体" w:hAnsi="宋体" w:eastAsia="方正小标宋简体" w:cs="Times New Roman"/>
          <w:bCs/>
          <w:sz w:val="44"/>
          <w:szCs w:val="44"/>
        </w:rPr>
        <w:t>负责人：</w:t>
      </w:r>
    </w:p>
    <w:p>
      <w:pPr>
        <w:spacing w:line="560" w:lineRule="exact"/>
        <w:jc w:val="center"/>
        <w:textAlignment w:val="baseline"/>
        <w:rPr>
          <w:rStyle w:val="6"/>
          <w:rFonts w:ascii="Times New Roman" w:hAnsi="Times New Roman" w:eastAsia="楷体_GB2312"/>
          <w:b/>
          <w:sz w:val="30"/>
          <w:szCs w:val="30"/>
        </w:rPr>
      </w:pPr>
    </w:p>
    <w:p>
      <w:pPr>
        <w:spacing w:line="560" w:lineRule="exact"/>
        <w:jc w:val="center"/>
        <w:textAlignment w:val="baseline"/>
        <w:rPr>
          <w:rStyle w:val="6"/>
          <w:rFonts w:ascii="Times New Roman" w:hAnsi="Times New Roman" w:eastAsia="楷体_GB2312"/>
          <w:b/>
          <w:sz w:val="30"/>
          <w:szCs w:val="30"/>
        </w:rPr>
      </w:pPr>
    </w:p>
    <w:p>
      <w:pPr>
        <w:spacing w:line="560" w:lineRule="exact"/>
        <w:jc w:val="center"/>
        <w:textAlignment w:val="baseline"/>
        <w:rPr>
          <w:rStyle w:val="6"/>
          <w:rFonts w:ascii="Times New Roman" w:hAnsi="Times New Roman" w:eastAsia="楷体_GB2312"/>
          <w:b/>
          <w:sz w:val="30"/>
          <w:szCs w:val="30"/>
        </w:rPr>
      </w:pPr>
    </w:p>
    <w:p>
      <w:pPr>
        <w:spacing w:line="560" w:lineRule="exact"/>
        <w:jc w:val="center"/>
        <w:textAlignment w:val="baseline"/>
        <w:rPr>
          <w:rStyle w:val="6"/>
          <w:rFonts w:ascii="黑体" w:hAnsi="黑体" w:eastAsia="黑体"/>
          <w:szCs w:val="32"/>
        </w:rPr>
        <w:sectPr>
          <w:footerReference r:id="rId3" w:type="default"/>
          <w:pgSz w:w="11906" w:h="16838"/>
          <w:pgMar w:top="1440" w:right="1800" w:bottom="1440" w:left="1800" w:header="851" w:footer="992" w:gutter="0"/>
          <w:pgNumType w:start="1"/>
          <w:cols w:space="425" w:num="1"/>
          <w:docGrid w:type="lines" w:linePitch="312" w:charSpace="0"/>
        </w:sectPr>
      </w:pPr>
      <w:r>
        <w:rPr>
          <w:rStyle w:val="6"/>
          <w:rFonts w:ascii="Times New Roman" w:hAnsi="Times New Roman" w:eastAsia="楷体_GB2312"/>
          <w:b/>
          <w:szCs w:val="32"/>
        </w:rPr>
        <w:t>202</w:t>
      </w:r>
      <w:r>
        <w:rPr>
          <w:rStyle w:val="6"/>
          <w:rFonts w:hint="eastAsia" w:ascii="Times New Roman" w:hAnsi="Times New Roman" w:eastAsia="楷体_GB2312"/>
          <w:b/>
          <w:szCs w:val="32"/>
        </w:rPr>
        <w:t xml:space="preserve"> </w:t>
      </w:r>
      <w:r>
        <w:rPr>
          <w:rStyle w:val="6"/>
          <w:rFonts w:ascii="Times New Roman" w:hAnsi="Times New Roman" w:eastAsia="楷体_GB2312"/>
          <w:b/>
          <w:szCs w:val="32"/>
        </w:rPr>
        <w:t>年</w:t>
      </w:r>
      <w:r>
        <w:rPr>
          <w:rStyle w:val="6"/>
          <w:rFonts w:hint="eastAsia" w:ascii="Times New Roman" w:hAnsi="Times New Roman" w:eastAsia="楷体_GB2312"/>
          <w:b/>
          <w:szCs w:val="32"/>
        </w:rPr>
        <w:t xml:space="preserve">   </w:t>
      </w:r>
      <w:r>
        <w:rPr>
          <w:rStyle w:val="6"/>
          <w:rFonts w:ascii="Times New Roman" w:hAnsi="Times New Roman" w:eastAsia="楷体_GB2312"/>
          <w:b/>
          <w:szCs w:val="32"/>
        </w:rPr>
        <w:t>月</w:t>
      </w:r>
      <w:r>
        <w:rPr>
          <w:rStyle w:val="6"/>
          <w:rFonts w:hint="eastAsia" w:ascii="Times New Roman" w:hAnsi="Times New Roman" w:eastAsia="楷体_GB2312"/>
          <w:b/>
          <w:szCs w:val="32"/>
        </w:rPr>
        <w:t xml:space="preserve">   </w:t>
      </w:r>
      <w:r>
        <w:rPr>
          <w:rStyle w:val="6"/>
          <w:rFonts w:ascii="Times New Roman" w:hAnsi="Times New Roman" w:eastAsia="楷体_GB2312"/>
          <w:b/>
          <w:szCs w:val="32"/>
        </w:rPr>
        <w:t>日</w:t>
      </w:r>
    </w:p>
    <w:p>
      <w:pPr>
        <w:widowControl/>
        <w:spacing w:line="560" w:lineRule="exact"/>
        <w:ind w:firstLine="600" w:firstLineChars="200"/>
        <w:textAlignment w:val="baseline"/>
        <w:rPr>
          <w:rStyle w:val="6"/>
          <w:rFonts w:ascii="方正仿宋简体" w:hAnsi="方正仿宋简体" w:cs="方正仿宋简体"/>
          <w:szCs w:val="32"/>
        </w:rPr>
      </w:pPr>
      <w:r>
        <w:rPr>
          <w:rStyle w:val="6"/>
          <w:rFonts w:hint="eastAsia" w:ascii="黑体" w:hAnsi="黑体" w:eastAsia="黑体" w:cs="黑体"/>
          <w:sz w:val="30"/>
          <w:szCs w:val="30"/>
        </w:rPr>
        <w:t>一、总体</w:t>
      </w:r>
      <w:r>
        <w:rPr>
          <w:rStyle w:val="6"/>
          <w:rFonts w:hint="eastAsia" w:ascii="黑体" w:hAnsi="黑体" w:eastAsia="黑体" w:cs="黑体"/>
          <w:szCs w:val="32"/>
        </w:rPr>
        <w:t>概况</w:t>
      </w:r>
    </w:p>
    <w:p>
      <w:pPr>
        <w:pStyle w:val="2"/>
        <w:spacing w:line="560" w:lineRule="exact"/>
        <w:rPr>
          <w:rStyle w:val="6"/>
          <w:rFonts w:ascii="方正仿宋简体" w:hAnsi="方正仿宋简体" w:cs="方正仿宋简体"/>
          <w:color w:val="auto"/>
        </w:rPr>
      </w:pPr>
      <w:r>
        <w:rPr>
          <w:rStyle w:val="6"/>
          <w:rFonts w:hint="eastAsia" w:ascii="方正仿宋简体" w:hAnsi="方正仿宋简体" w:cs="方正仿宋简体"/>
          <w:color w:val="auto"/>
        </w:rPr>
        <w:t>学位授权点基本情况，学科建设情况，研究生招生、在读、毕业、学位授予及就业基本状况，研究生导师状况（总体规模、队伍结构）。</w:t>
      </w:r>
    </w:p>
    <w:p>
      <w:pPr>
        <w:widowControl/>
        <w:spacing w:line="560" w:lineRule="exact"/>
        <w:ind w:firstLine="600" w:firstLineChars="200"/>
        <w:textAlignment w:val="baseline"/>
        <w:rPr>
          <w:rFonts w:eastAsia="黑体"/>
        </w:rPr>
      </w:pPr>
      <w:r>
        <w:rPr>
          <w:rStyle w:val="6"/>
          <w:rFonts w:ascii="黑体" w:hAnsi="黑体" w:eastAsia="黑体" w:cs="黑体"/>
          <w:sz w:val="30"/>
          <w:szCs w:val="30"/>
        </w:rPr>
        <w:t>二、</w:t>
      </w:r>
      <w:r>
        <w:rPr>
          <w:rStyle w:val="6"/>
          <w:rFonts w:hint="eastAsia" w:ascii="黑体" w:hAnsi="黑体" w:eastAsia="黑体" w:cs="黑体"/>
          <w:sz w:val="30"/>
          <w:szCs w:val="30"/>
        </w:rPr>
        <w:t>主要内容按以下要求撰写，同时也可根据本学位点的特点增减相应内容。</w:t>
      </w:r>
    </w:p>
    <w:tbl>
      <w:tblPr>
        <w:tblStyle w:val="4"/>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741"/>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Align w:val="center"/>
          </w:tcPr>
          <w:p>
            <w:pPr>
              <w:snapToGrid w:val="0"/>
              <w:rPr>
                <w:rFonts w:ascii="Times New Roman" w:hAnsi="Times New Roman" w:eastAsia="黑体" w:cs="Times New Roman"/>
                <w:szCs w:val="21"/>
              </w:rPr>
            </w:pPr>
            <w:r>
              <w:rPr>
                <w:rFonts w:ascii="Times New Roman" w:hAnsi="Times New Roman" w:eastAsia="黑体" w:cs="Times New Roman"/>
                <w:szCs w:val="21"/>
              </w:rPr>
              <w:t>一级要素</w:t>
            </w:r>
          </w:p>
        </w:tc>
        <w:tc>
          <w:tcPr>
            <w:tcW w:w="1741" w:type="dxa"/>
            <w:vAlign w:val="center"/>
          </w:tcPr>
          <w:p>
            <w:pPr>
              <w:snapToGrid w:val="0"/>
              <w:rPr>
                <w:rFonts w:ascii="Times New Roman" w:hAnsi="Times New Roman" w:eastAsia="黑体" w:cs="Times New Roman"/>
                <w:szCs w:val="21"/>
              </w:rPr>
            </w:pPr>
            <w:r>
              <w:rPr>
                <w:rFonts w:ascii="Times New Roman" w:hAnsi="Times New Roman" w:eastAsia="黑体" w:cs="Times New Roman"/>
                <w:szCs w:val="21"/>
              </w:rPr>
              <w:t>二级要素</w:t>
            </w:r>
          </w:p>
        </w:tc>
        <w:tc>
          <w:tcPr>
            <w:tcW w:w="5152" w:type="dxa"/>
            <w:vAlign w:val="center"/>
          </w:tcPr>
          <w:p>
            <w:pPr>
              <w:snapToGrid w:val="0"/>
              <w:rPr>
                <w:rFonts w:ascii="Times New Roman" w:hAnsi="Times New Roman" w:eastAsia="黑体" w:cs="Times New Roman"/>
                <w:szCs w:val="21"/>
              </w:rPr>
            </w:pPr>
            <w:r>
              <w:rPr>
                <w:rFonts w:ascii="Times New Roman" w:hAnsi="Times New Roman" w:eastAsia="黑体" w:cs="Times New Roman"/>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restart"/>
            <w:vAlign w:val="center"/>
          </w:tcPr>
          <w:p>
            <w:pPr>
              <w:snapToGrid w:val="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目标与标准</w:t>
            </w: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培养目标</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学位标准</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符合本学科特点，与本单位办学定位及特色相一致的学位授予质量标准的制定及执行情况。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restart"/>
            <w:vAlign w:val="center"/>
          </w:tcPr>
          <w:p>
            <w:pPr>
              <w:snapToGrid w:val="0"/>
            </w:pPr>
          </w:p>
          <w:p>
            <w:r>
              <w:rPr>
                <w:rFonts w:hint="eastAsia" w:ascii="Times New Roman" w:hAnsi="Times New Roman" w:cs="Times New Roman"/>
                <w:szCs w:val="21"/>
              </w:rPr>
              <w:t>2基本条件</w:t>
            </w: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2.1</w:t>
            </w:r>
            <w:r>
              <w:rPr>
                <w:rFonts w:ascii="Times New Roman" w:hAnsi="Times New Roman" w:cs="Times New Roman"/>
                <w:szCs w:val="21"/>
              </w:rPr>
              <w:t>培养方向</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本学位点的主要培养方向简介。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continue"/>
            <w:vAlign w:val="center"/>
          </w:tc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师资队伍</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各培养方向带头人</w:t>
            </w:r>
            <w:r>
              <w:rPr>
                <w:rFonts w:hint="eastAsia" w:ascii="Times New Roman" w:hAnsi="Times New Roman" w:cs="Times New Roman"/>
                <w:szCs w:val="21"/>
              </w:rPr>
              <w:t>与学术骨干</w:t>
            </w:r>
            <w:r>
              <w:rPr>
                <w:rFonts w:ascii="Times New Roman" w:hAnsi="Times New Roman" w:cs="Times New Roman"/>
                <w:szCs w:val="21"/>
              </w:rPr>
              <w:t>、主要师资队伍情况。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2.3</w:t>
            </w:r>
            <w:r>
              <w:rPr>
                <w:rFonts w:ascii="Times New Roman" w:hAnsi="Times New Roman" w:cs="Times New Roman"/>
                <w:szCs w:val="21"/>
              </w:rPr>
              <w:t>科学研究</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w:t>
            </w:r>
            <w:r>
              <w:rPr>
                <w:rFonts w:hint="eastAsia" w:ascii="Times New Roman" w:hAnsi="Times New Roman" w:cs="Times New Roman"/>
                <w:szCs w:val="21"/>
              </w:rPr>
              <w:t>上一年</w:t>
            </w:r>
            <w:r>
              <w:rPr>
                <w:rFonts w:ascii="Times New Roman" w:hAnsi="Times New Roman" w:cs="Times New Roman"/>
                <w:szCs w:val="21"/>
              </w:rPr>
              <w:t>已完成的主要科研项目以及在研项目情况。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教学科研支撑</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本学位点支撑研究生学习、科研的平台情况。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lang w:val="zh-CN"/>
              </w:rPr>
              <w:t>.</w:t>
            </w:r>
            <w:r>
              <w:rPr>
                <w:rFonts w:hint="eastAsia" w:ascii="Times New Roman" w:hAnsi="Times New Roman" w:cs="Times New Roman"/>
                <w:szCs w:val="21"/>
              </w:rPr>
              <w:t>5</w:t>
            </w:r>
            <w:r>
              <w:rPr>
                <w:rFonts w:ascii="Times New Roman" w:hAnsi="Times New Roman" w:cs="Times New Roman"/>
                <w:szCs w:val="21"/>
                <w:lang w:val="zh-CN"/>
              </w:rPr>
              <w:t>奖助体系</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restart"/>
            <w:shd w:val="clear" w:color="auto" w:fill="auto"/>
            <w:vAlign w:val="center"/>
          </w:tcPr>
          <w:p>
            <w:pPr>
              <w:snapToGrid w:val="0"/>
              <w:rPr>
                <w:rFonts w:ascii="Times New Roman" w:hAnsi="Times New Roman" w:cs="Times New Roman"/>
                <w:szCs w:val="21"/>
              </w:rPr>
            </w:pPr>
            <w:r>
              <w:rPr>
                <w:rFonts w:hint="eastAsia" w:ascii="Times New Roman" w:hAnsi="Times New Roman" w:cs="Times New Roman"/>
                <w:szCs w:val="21"/>
              </w:rPr>
              <w:t>3人才培养</w:t>
            </w: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lang w:val="zh-CN"/>
              </w:rPr>
              <w:t>.1招生选拔</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lang w:val="zh-CN"/>
              </w:rPr>
              <w:t>学位授权点研究生报考数量、录取比例、录取人数、生源结构情况，以及为保证生源质量采取的措施。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3.2思政教育</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lang w:val="zh-CN"/>
              </w:rPr>
              <w:t>.</w:t>
            </w:r>
            <w:r>
              <w:rPr>
                <w:rFonts w:hint="eastAsia" w:ascii="Times New Roman" w:hAnsi="Times New Roman" w:cs="Times New Roman"/>
                <w:szCs w:val="21"/>
              </w:rPr>
              <w:t>3</w:t>
            </w:r>
            <w:r>
              <w:rPr>
                <w:rFonts w:ascii="Times New Roman" w:hAnsi="Times New Roman" w:cs="Times New Roman"/>
                <w:szCs w:val="21"/>
                <w:lang w:val="zh-CN"/>
              </w:rPr>
              <w:t>课程教学</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本学位点开设的核心课程及主讲教师。</w:t>
            </w:r>
            <w:r>
              <w:rPr>
                <w:rFonts w:hint="eastAsia" w:ascii="Times New Roman" w:hAnsi="Times New Roman" w:cs="Times New Roman"/>
                <w:szCs w:val="21"/>
              </w:rPr>
              <w:t>课程教学质量</w:t>
            </w:r>
            <w:r>
              <w:rPr>
                <w:rFonts w:ascii="Times New Roman" w:hAnsi="Times New Roman" w:cs="Times New Roman"/>
                <w:szCs w:val="21"/>
              </w:rPr>
              <w:t>和持续改进机制</w:t>
            </w:r>
            <w:r>
              <w:rPr>
                <w:rFonts w:hint="eastAsia" w:ascii="Times New Roman" w:hAnsi="Times New Roman" w:cs="Times New Roman"/>
                <w:szCs w:val="21"/>
              </w:rPr>
              <w:t>，教材建设情况</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lang w:val="zh-CN"/>
              </w:rPr>
              <w:t>.</w:t>
            </w:r>
            <w:r>
              <w:rPr>
                <w:rFonts w:hint="eastAsia" w:ascii="Times New Roman" w:hAnsi="Times New Roman" w:cs="Times New Roman"/>
                <w:szCs w:val="21"/>
              </w:rPr>
              <w:t>4</w:t>
            </w:r>
            <w:r>
              <w:rPr>
                <w:rFonts w:ascii="Times New Roman" w:hAnsi="Times New Roman" w:cs="Times New Roman"/>
                <w:szCs w:val="21"/>
                <w:lang w:val="zh-CN"/>
              </w:rPr>
              <w:t>导师指导</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导师队伍的选聘、培训、考核情况</w:t>
            </w:r>
            <w:r>
              <w:rPr>
                <w:rFonts w:hint="eastAsia" w:ascii="Times New Roman" w:hAnsi="Times New Roman" w:cs="Times New Roman"/>
                <w:szCs w:val="21"/>
              </w:rPr>
              <w:t>，</w:t>
            </w:r>
            <w:r>
              <w:rPr>
                <w:rFonts w:ascii="Times New Roman" w:hAnsi="Times New Roman" w:cs="Times New Roman"/>
                <w:szCs w:val="21"/>
              </w:rPr>
              <w:t>导师指导研究生的制度要求和执行情况</w:t>
            </w:r>
            <w:r>
              <w:rPr>
                <w:rFonts w:hint="eastAsia" w:ascii="Times New Roman" w:hAnsi="Times New Roman" w:cs="Times New Roman"/>
                <w:szCs w:val="21"/>
              </w:rPr>
              <w:t>，博士生导师岗位管理制度建设和落实情况。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lang w:val="zh-CN"/>
              </w:rPr>
            </w:pPr>
            <w:r>
              <w:rPr>
                <w:rFonts w:hint="eastAsia" w:ascii="Times New Roman" w:hAnsi="Times New Roman" w:cs="Times New Roman"/>
                <w:szCs w:val="21"/>
              </w:rPr>
              <w:t>3</w:t>
            </w:r>
            <w:r>
              <w:rPr>
                <w:rFonts w:ascii="Times New Roman" w:hAnsi="Times New Roman" w:cs="Times New Roman"/>
                <w:szCs w:val="21"/>
                <w:lang w:val="zh-CN"/>
              </w:rPr>
              <w:t>.</w:t>
            </w:r>
            <w:r>
              <w:rPr>
                <w:rFonts w:hint="eastAsia" w:ascii="Times New Roman" w:hAnsi="Times New Roman" w:cs="Times New Roman"/>
                <w:szCs w:val="21"/>
              </w:rPr>
              <w:t>5</w:t>
            </w:r>
            <w:r>
              <w:rPr>
                <w:rFonts w:ascii="Times New Roman" w:hAnsi="Times New Roman" w:cs="Times New Roman"/>
                <w:szCs w:val="21"/>
                <w:lang w:val="zh-CN"/>
              </w:rPr>
              <w:t>学术训练</w:t>
            </w:r>
            <w:r>
              <w:rPr>
                <w:rFonts w:hint="eastAsia" w:ascii="Times New Roman" w:hAnsi="Times New Roman" w:cs="Times New Roman"/>
                <w:szCs w:val="21"/>
                <w:lang w:val="zh-CN"/>
              </w:rPr>
              <w:t>或实践教学</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研究生参与学术训练</w:t>
            </w:r>
            <w:r>
              <w:rPr>
                <w:rFonts w:hint="eastAsia" w:ascii="Times New Roman" w:hAnsi="Times New Roman" w:cs="Times New Roman"/>
                <w:szCs w:val="21"/>
              </w:rPr>
              <w:t>及科教融合培养研究生成效</w:t>
            </w:r>
            <w:r>
              <w:rPr>
                <w:rFonts w:ascii="Times New Roman" w:hAnsi="Times New Roman" w:cs="Times New Roman"/>
                <w:szCs w:val="21"/>
              </w:rPr>
              <w:t>，包括制度保证、经费支持等。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lang w:val="zh-CN"/>
              </w:rPr>
            </w:pPr>
            <w:r>
              <w:rPr>
                <w:rFonts w:hint="eastAsia" w:ascii="Times New Roman" w:hAnsi="Times New Roman" w:cs="Times New Roman"/>
                <w:szCs w:val="21"/>
              </w:rPr>
              <w:t>3</w:t>
            </w:r>
            <w:r>
              <w:rPr>
                <w:rFonts w:ascii="Times New Roman" w:hAnsi="Times New Roman" w:cs="Times New Roman"/>
                <w:szCs w:val="21"/>
                <w:lang w:val="zh-CN"/>
              </w:rPr>
              <w:t>.</w:t>
            </w:r>
            <w:r>
              <w:rPr>
                <w:rFonts w:hint="eastAsia" w:ascii="Times New Roman" w:hAnsi="Times New Roman" w:cs="Times New Roman"/>
                <w:szCs w:val="21"/>
              </w:rPr>
              <w:t>6</w:t>
            </w:r>
            <w:r>
              <w:rPr>
                <w:rFonts w:ascii="Times New Roman" w:hAnsi="Times New Roman" w:cs="Times New Roman"/>
                <w:szCs w:val="21"/>
                <w:lang w:val="zh-CN"/>
              </w:rPr>
              <w:t>学术交流</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3.7论文质量</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体现本学科特点的学位论文规范、评阅规则和核查办法的制定及执行情况。本学位点学位论文在各类论文抽检、评审中的情况和论文质量分析。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lang w:val="zh-CN"/>
              </w:rPr>
            </w:pPr>
            <w:r>
              <w:rPr>
                <w:rFonts w:hint="eastAsia" w:ascii="Times New Roman" w:hAnsi="Times New Roman" w:cs="Times New Roman"/>
                <w:szCs w:val="21"/>
              </w:rPr>
              <w:t>3.8质量保证</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培养全过程监控与质量保证、加强学位论文和学位授予管理、强化指导教师质量管控责任、分流淘汰机制等情况</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shd w:val="clear" w:color="auto" w:fill="auto"/>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9</w:t>
            </w:r>
            <w:r>
              <w:rPr>
                <w:rFonts w:ascii="Times New Roman" w:hAnsi="Times New Roman" w:cs="Times New Roman"/>
                <w:szCs w:val="21"/>
              </w:rPr>
              <w:t>学风</w:t>
            </w:r>
            <w:r>
              <w:rPr>
                <w:rFonts w:hint="eastAsia" w:ascii="Times New Roman" w:hAnsi="Times New Roman" w:cs="Times New Roman"/>
                <w:szCs w:val="21"/>
              </w:rPr>
              <w:t>建设</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本学位点科学道德和学术规范教育</w:t>
            </w:r>
            <w:r>
              <w:rPr>
                <w:rFonts w:hint="eastAsia" w:ascii="Times New Roman" w:hAnsi="Times New Roman" w:cs="Times New Roman"/>
                <w:szCs w:val="21"/>
              </w:rPr>
              <w:t>开展</w:t>
            </w:r>
            <w:r>
              <w:rPr>
                <w:rFonts w:ascii="Times New Roman" w:hAnsi="Times New Roman" w:cs="Times New Roman"/>
                <w:szCs w:val="21"/>
              </w:rPr>
              <w:t>情况，学术不端行为</w:t>
            </w:r>
            <w:r>
              <w:rPr>
                <w:rFonts w:hint="eastAsia" w:ascii="Times New Roman" w:hAnsi="Times New Roman" w:cs="Times New Roman"/>
                <w:szCs w:val="21"/>
              </w:rPr>
              <w:t>处理</w:t>
            </w:r>
            <w:r>
              <w:rPr>
                <w:rFonts w:ascii="Times New Roman" w:hAnsi="Times New Roman" w:cs="Times New Roman"/>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3.10管理服务</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专职管理人员配备情况，研究生权益保障制度建立情况，在学研究生满意度调查情况等。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3.11</w:t>
            </w:r>
            <w:r>
              <w:rPr>
                <w:rFonts w:ascii="Times New Roman" w:hAnsi="Times New Roman" w:cs="Times New Roman"/>
                <w:szCs w:val="21"/>
              </w:rPr>
              <w:t>就业发展</w:t>
            </w:r>
          </w:p>
        </w:tc>
        <w:tc>
          <w:tcPr>
            <w:tcW w:w="5152" w:type="dxa"/>
            <w:vAlign w:val="center"/>
          </w:tcPr>
          <w:p>
            <w:pPr>
              <w:snapToGrid w:val="0"/>
              <w:rPr>
                <w:rFonts w:ascii="Times New Roman" w:hAnsi="Times New Roman" w:cs="Times New Roman"/>
                <w:szCs w:val="21"/>
              </w:rPr>
            </w:pPr>
            <w:r>
              <w:rPr>
                <w:rFonts w:ascii="Times New Roman" w:hAnsi="Times New Roman" w:cs="Times New Roman"/>
                <w:szCs w:val="21"/>
              </w:rPr>
              <w:t>本学位点毕业研究生的就业率、就业去向分析，用人单位意见反馈和毕业生发展质量调查情况。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restart"/>
            <w:vAlign w:val="center"/>
          </w:tcPr>
          <w:p>
            <w:pPr>
              <w:snapToGrid w:val="0"/>
              <w:rPr>
                <w:rFonts w:ascii="Times New Roman" w:hAnsi="Times New Roman" w:cs="Times New Roman"/>
                <w:szCs w:val="21"/>
              </w:rPr>
            </w:pPr>
            <w:r>
              <w:rPr>
                <w:rFonts w:hint="eastAsia" w:ascii="Times New Roman" w:hAnsi="Times New Roman" w:cs="Times New Roman"/>
                <w:szCs w:val="21"/>
              </w:rPr>
              <w:t>4服务贡献</w:t>
            </w: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4.1 科技进步</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4.2 经济发展</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blHeader/>
          <w:jc w:val="center"/>
        </w:trPr>
        <w:tc>
          <w:tcPr>
            <w:tcW w:w="1386" w:type="dxa"/>
            <w:vMerge w:val="continue"/>
            <w:vAlign w:val="center"/>
          </w:tcPr>
          <w:p>
            <w:pPr>
              <w:snapToGrid w:val="0"/>
              <w:rPr>
                <w:rFonts w:ascii="Times New Roman" w:hAnsi="Times New Roman" w:cs="Times New Roman"/>
                <w:szCs w:val="21"/>
              </w:rPr>
            </w:pPr>
          </w:p>
        </w:tc>
        <w:tc>
          <w:tcPr>
            <w:tcW w:w="1741" w:type="dxa"/>
            <w:vAlign w:val="center"/>
          </w:tcPr>
          <w:p>
            <w:pPr>
              <w:snapToGrid w:val="0"/>
              <w:rPr>
                <w:rFonts w:ascii="Times New Roman" w:hAnsi="Times New Roman" w:cs="Times New Roman"/>
                <w:szCs w:val="21"/>
              </w:rPr>
            </w:pPr>
            <w:r>
              <w:rPr>
                <w:rFonts w:hint="eastAsia" w:ascii="Times New Roman" w:hAnsi="Times New Roman" w:cs="Times New Roman"/>
                <w:szCs w:val="21"/>
              </w:rPr>
              <w:t>4.3 文化建设</w:t>
            </w:r>
          </w:p>
        </w:tc>
        <w:tc>
          <w:tcPr>
            <w:tcW w:w="5152" w:type="dxa"/>
            <w:vAlign w:val="center"/>
          </w:tcPr>
          <w:p>
            <w:pPr>
              <w:snapToGrid w:val="0"/>
              <w:rPr>
                <w:rFonts w:ascii="Times New Roman" w:hAnsi="Times New Roman" w:cs="Times New Roman"/>
                <w:szCs w:val="21"/>
              </w:rPr>
            </w:pPr>
            <w:r>
              <w:rPr>
                <w:rFonts w:hint="eastAsia" w:ascii="Times New Roman" w:hAnsi="Times New Roman" w:cs="Times New Roman"/>
                <w:szCs w:val="21"/>
              </w:rPr>
              <w:t>繁荣和发展社会主义文化情况</w:t>
            </w:r>
          </w:p>
        </w:tc>
      </w:tr>
    </w:tbl>
    <w:p>
      <w:pPr>
        <w:rPr>
          <w:rFonts w:ascii="宋体" w:hAnsi="宋体" w:eastAsia="宋体" w:cs="宋体"/>
          <w:sz w:val="28"/>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textAlignment w:val="baseline"/>
      <w:rPr>
        <w:rStyle w:val="6"/>
        <w:rFonts w:ascii="Times New Roman" w:hAnsi="Times New Roman" w:eastAsia="宋体"/>
      </w:rPr>
    </w:pPr>
    <w:r>
      <w:rPr>
        <w:rStyle w:val="6"/>
        <w:rFonts w:ascii="Times New Roman" w:hAnsi="Times New Roman" w:eastAsia="宋体"/>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widowControl/>
                            <w:snapToGrid w:val="0"/>
                            <w:textAlignment w:val="baseline"/>
                            <w:rPr>
                              <w:rFonts w:ascii="Times New Roman" w:hAnsi="Times New Roman" w:eastAsia="宋体"/>
                              <w:sz w:val="20"/>
                              <w:szCs w:val="18"/>
                            </w:rPr>
                          </w:pPr>
                        </w:p>
                        <w:p>
                          <w:pPr>
                            <w:textAlignment w:val="baseline"/>
                            <w:rPr>
                              <w:rFonts w:ascii="Times New Roman" w:hAnsi="Times New Roman" w:eastAsia="宋体"/>
                            </w:rPr>
                          </w:pPr>
                        </w:p>
                      </w:txbxContent>
                    </wps:txbx>
                    <wps:bodyPr lIns="0" tIns="0" rIns="0" bIns="0" upright="1"/>
                  </wps:wsp>
                </a:graphicData>
              </a:graphic>
            </wp:anchor>
          </w:drawing>
        </mc:Choice>
        <mc:Fallback>
          <w:pict>
            <v:shape id="_x0000_s1026" o:spid="_x0000_s1026" o:spt="202" type="#_x0000_t202" style="position:absolute;left:0pt;margin-top:0.65pt;height:144pt;width:144pt;mso-position-horizontal:center;mso-position-horizontal-relative:margin;z-index:251659264;mso-width-relative:page;mso-height-relative:page;" filled="f" stroked="f" coordsize="21600,21600"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R6pZTVAAAABgEAAA8AAAAAAAAAAQAgAAAAIgAAAGRycy9kb3ducmV2Lnht&#10;bFBLAQIUABQAAAAIAIdO4kBBBg6qwwEAAIsDAAAOAAAAAAAAAAEAIAAAACQBAABkcnMvZTJvRG9j&#10;LnhtbFBLBQYAAAAABgAGAFkBAABZBQAAAAA=&#10;">
              <v:path/>
              <v:fill on="f" focussize="0,0"/>
              <v:stroke on="f" weight="1.25pt" joinstyle="miter"/>
              <v:imagedata o:title=""/>
              <o:lock v:ext="edit"/>
              <v:textbox inset="0mm,0mm,0mm,0mm">
                <w:txbxContent>
                  <w:p>
                    <w:pPr>
                      <w:widowControl/>
                      <w:snapToGrid w:val="0"/>
                      <w:textAlignment w:val="baseline"/>
                      <w:rPr>
                        <w:rFonts w:ascii="Times New Roman" w:hAnsi="Times New Roman" w:eastAsia="宋体"/>
                        <w:sz w:val="20"/>
                        <w:szCs w:val="18"/>
                      </w:rPr>
                    </w:pPr>
                  </w:p>
                  <w:p>
                    <w:pPr>
                      <w:textAlignment w:val="baseline"/>
                      <w:rPr>
                        <w:rFonts w:ascii="Times New Roman" w:hAnsi="Times New Roman" w:eastAsia="宋体"/>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ZTdkNTg5OThjODFiYzU3OGJhYjBlODRhNzk4NWUifQ=="/>
  </w:docVars>
  <w:rsids>
    <w:rsidRoot w:val="24737B23"/>
    <w:rsid w:val="2473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方正仿宋简体"/>
      <w:sz w:val="18"/>
      <w:szCs w:val="18"/>
    </w:rPr>
  </w:style>
  <w:style w:type="character" w:customStyle="1" w:styleId="6">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7">
    <w:name w:val="Heading3"/>
    <w:basedOn w:val="1"/>
    <w:next w:val="1"/>
    <w:qFormat/>
    <w:uiPriority w:val="0"/>
    <w:pPr>
      <w:spacing w:line="600" w:lineRule="exact"/>
      <w:ind w:firstLine="640" w:firstLineChars="200"/>
      <w:textAlignment w:val="baseline"/>
    </w:pPr>
    <w:rPr>
      <w:rFonts w:ascii="黑体" w:hAnsi="黑体" w:eastAsia="黑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2022-11-29T00:37:00Z</dcterms:created>
  <dc:creator>Only</dc:creator>
  <cp:lastModifiedBy>Only</cp:lastModifiedBy>
  <dcterms:modified xsi:type="dcterms:W3CDTF">2022-11-29T00:38:30Z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A3ACEF94CE404FF1BFA3C9A69B39A113</vt:lpwstr>
  </property>
</Properties>
</file>