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24"/>
          <w:szCs w:val="32"/>
        </w:rPr>
        <w:t>附件1：</w:t>
      </w:r>
    </w:p>
    <w:p>
      <w:pPr>
        <w:pStyle w:val="2"/>
        <w:jc w:val="center"/>
      </w:pPr>
      <w:r>
        <w:rPr>
          <w:rFonts w:hint="eastAsia"/>
        </w:rPr>
        <w:t>学校审核时间安排表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61"/>
        <w:tblOverlap w:val="never"/>
        <w:tblW w:w="8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08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国家数字化学习工程技术研究中心、美术学院、音乐学院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化学学院</w:t>
            </w:r>
            <w:r>
              <w:rPr>
                <w:rFonts w:hint="eastAsia" w:ascii="仿宋" w:hAnsi="仿宋" w:eastAsia="仿宋"/>
                <w:szCs w:val="21"/>
              </w:rPr>
              <w:t>、中国农村研究院、国家文化产业研究中心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计算机学院、信息化与基础教育均衡发展协同创新中心 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 xml:space="preserve">湖北经济与社会发展研究院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政治与国际关系学院、城市与环境科学学院、历史文化学院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马克思主义学院、社会学院、心理学院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新闻传播学院、教育信息技术学院、法学院、教师教育学院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教育学院、生命科学学院、数统学院、教育信息技术协同中心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体育学院、公共管理学院、信息管理学院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物理学院、经济与工商管理学院、伍伦贡联合研究院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外国语学院、文学院、</w:t>
            </w:r>
            <w:r>
              <w:rPr>
                <w:rFonts w:hint="eastAsia" w:ascii="仿宋" w:hAnsi="仿宋" w:eastAsia="仿宋"/>
                <w:szCs w:val="21"/>
              </w:rPr>
              <w:t>语言研究所</w:t>
            </w:r>
          </w:p>
        </w:tc>
      </w:tr>
    </w:tbl>
    <w:p>
      <w:pPr>
        <w:jc w:val="center"/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216EF8"/>
    <w:rsid w:val="001C7949"/>
    <w:rsid w:val="00E803FB"/>
    <w:rsid w:val="00E81D92"/>
    <w:rsid w:val="0F394AAF"/>
    <w:rsid w:val="4D5A6AD9"/>
    <w:rsid w:val="51593EA5"/>
    <w:rsid w:val="550738FE"/>
    <w:rsid w:val="590E364A"/>
    <w:rsid w:val="71216EF8"/>
    <w:rsid w:val="778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25</TotalTime>
  <ScaleCrop>false</ScaleCrop>
  <LinksUpToDate>false</LinksUpToDate>
  <CharactersWithSpaces>388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2020-04-18T07:10:00Z</dcterms:created>
  <dc:creator>山山</dc:creator>
  <cp:lastModifiedBy>undefined刘卫</cp:lastModifiedBy>
  <dcterms:modified xsi:type="dcterms:W3CDTF">2020-05-20T04:09:00Z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